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陕西健康医疗集团有限公司机关岗位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计划表</w:t>
      </w:r>
    </w:p>
    <w:tbl>
      <w:tblPr>
        <w:tblStyle w:val="4"/>
        <w:tblpPr w:leftFromText="180" w:rightFromText="180" w:vertAnchor="text" w:horzAnchor="page" w:tblpX="310" w:tblpY="253"/>
        <w:tblOverlap w:val="never"/>
        <w:tblW w:w="16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88"/>
        <w:gridCol w:w="832"/>
        <w:gridCol w:w="584"/>
        <w:gridCol w:w="5608"/>
        <w:gridCol w:w="5297"/>
        <w:gridCol w:w="1019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  <w:tblHeader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ind w:firstLine="482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ind w:firstLine="482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渠道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咨询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党群工作部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党务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宣传岗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协助部长、副部长</w:t>
            </w:r>
            <w:r>
              <w:rPr>
                <w:rFonts w:hint="default" w:ascii="宋体" w:hAnsi="楷体_GB2312"/>
                <w:sz w:val="21"/>
                <w:szCs w:val="22"/>
              </w:rPr>
              <w:t>负责集团的推广以及品牌管理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楷体_GB2312"/>
                <w:sz w:val="21"/>
                <w:szCs w:val="22"/>
              </w:rPr>
              <w:t>负责起草集团对外宣传资料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/>
                <w:sz w:val="21"/>
                <w:szCs w:val="24"/>
              </w:rPr>
              <w:t>负责日常性对外新闻宣传报道工作，做好与新闻媒体的日常联络、沟通与接待工作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default" w:ascii="宋体" w:hAnsi="楷体_GB2312"/>
                <w:sz w:val="21"/>
                <w:szCs w:val="22"/>
              </w:rPr>
              <w:t>负责集团内部的宣传工作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5.完成部门安排的其他工作。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中共党员（含预备党员）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，身体健康；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社招条件：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年龄35岁以下（1987年7月1日以后出生）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本科毕业，具有5年以上招聘岗位所需的工作经历，有大型国企相关岗位履历优先；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3.校招条件：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党建、马哲、新闻学、中文、传媒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、法学、管理学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等相关专业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的优秀应届硕士研究生。在校期间获得两次及以上奖学金，有院、系学生会干部经历的优先。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具有较强的文字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功底，热爱写作，有新闻作品、大型会议材料优先。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品行端正、遵纪守法，具有良好的职业操守。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党群工作部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029-85882564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医疗规划发展部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管理岗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1.负责建立医疗质量监督体系，监测所属医疗机构重大医疗事故，牵头组织内、外部专家资源指导各级医院加强质量管理，促进医疗质量持续改进；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负责所属医疗机构的医院标准化建设；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3.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负责拟定与审核所属医疗机构重组整合等改革方案；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4.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负责引入国内外领先医、教、研机构资源，加强所属医疗机构重点学科发展；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5.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负责集团医疗体系医生集团、专科联盟的建设；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6.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负责所属医疗机构科室共建、对外合作的相关工作；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7</w:t>
            </w:r>
            <w:r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负责院长专业化培训的相关事宜；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8</w:t>
            </w:r>
            <w:r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负责医疗机构与原主业的关系协调、移交划转遗留问题的解决、办理以及集团内部业务协同等相关事宜；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0" w:firstLineChars="0"/>
              <w:jc w:val="left"/>
              <w:textAlignment w:val="center"/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9</w:t>
            </w:r>
            <w:r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.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学习研究国内外大健康产业相关专业新技术、企业运营新模式，提出集团的引进实施方案</w:t>
            </w: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eastAsia" w:ascii="宋体" w:hAnsi="楷体_GB2312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10</w:t>
            </w:r>
            <w:r>
              <w:rPr>
                <w:rFonts w:hint="eastAsia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.</w:t>
            </w:r>
            <w:r>
              <w:rPr>
                <w:rFonts w:hint="default" w:ascii="宋体" w:hAnsi="楷体_GB2312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完成部门领导交办的其他工作。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1.身体健康，心理素质良好；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社招条件：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年龄35岁以下（1987年7月1日以后出生）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本科毕业，具有5年以上相关岗位工作经历；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3.校招条件：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医院管理、生物医学工程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等相关专业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优秀应届硕士研究生，在校期间获得两次及以上奖学金，有院、系学生会干部经历的优先。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具有工作激情和较好的学习适应能力，能熟练操作电脑和使用Office办公软件；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责任心强、诚实敬业，富有进取创新精神和较强的团队合作精神；品行端正、遵纪守法，具有良好的职业操守，无违法违纪行为和任何不良记录，严格遵守保密纪律。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医疗管理岗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029-85882552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Nzk4NmJjM2NlZjlkY2NkZDZhNjU3MjdlZDRmM2MifQ=="/>
  </w:docVars>
  <w:rsids>
    <w:rsidRoot w:val="00000000"/>
    <w:rsid w:val="775C4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line="240" w:lineRule="auto"/>
    </w:pPr>
    <w:rPr>
      <w:rFonts w:ascii="Calibri" w:hAnsi="Calibri" w:eastAsia="宋体" w:cs="Calibri"/>
      <w:spacing w:val="0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macbook</dc:creator>
  <cp:lastModifiedBy>false face</cp:lastModifiedBy>
  <dcterms:modified xsi:type="dcterms:W3CDTF">2022-09-02T13:03:05Z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7066E87F3B8F462792AA3C986430ABDD</vt:lpwstr>
  </property>
</Properties>
</file>